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57" w:rsidRPr="00630F57" w:rsidRDefault="00630F57" w:rsidP="00630F57">
      <w:pPr>
        <w:jc w:val="both"/>
        <w:rPr>
          <w:lang w:val="uk-UA"/>
        </w:rPr>
      </w:pPr>
      <w:bookmarkStart w:id="0" w:name="_GoBack"/>
      <w:r w:rsidRPr="00630F57">
        <w:rPr>
          <w:lang w:val="uk-UA"/>
        </w:rPr>
        <w:t xml:space="preserve">Річні загальні збори </w:t>
      </w:r>
      <w:r w:rsidRPr="00630F57">
        <w:rPr>
          <w:b/>
          <w:lang w:val="uk-UA"/>
        </w:rPr>
        <w:t>приватного акціонерного товариства «</w:t>
      </w:r>
      <w:proofErr w:type="spellStart"/>
      <w:r w:rsidRPr="00630F57">
        <w:rPr>
          <w:b/>
          <w:lang w:val="uk-UA"/>
        </w:rPr>
        <w:t>Металит</w:t>
      </w:r>
      <w:proofErr w:type="spellEnd"/>
      <w:r w:rsidRPr="00630F57">
        <w:rPr>
          <w:b/>
          <w:lang w:val="uk-UA"/>
        </w:rPr>
        <w:t>»</w:t>
      </w:r>
      <w:r w:rsidRPr="00630F57">
        <w:rPr>
          <w:lang w:val="uk-UA"/>
        </w:rPr>
        <w:t xml:space="preserve">, місцезнаходження: м. Кіровоград, вул. Медведєва, 1, корп. 2, офіс 201, відбудуться 23.04.2016р. о 10-й годині за адресою: м. Кіровоград, вул. </w:t>
      </w:r>
      <w:proofErr w:type="spellStart"/>
      <w:r w:rsidRPr="00630F57">
        <w:rPr>
          <w:lang w:val="uk-UA"/>
        </w:rPr>
        <w:t>Ельворті</w:t>
      </w:r>
      <w:proofErr w:type="spellEnd"/>
      <w:r w:rsidRPr="00630F57">
        <w:rPr>
          <w:lang w:val="uk-UA"/>
        </w:rPr>
        <w:t>, 7, офіс 501. Реєстрація акціонерів та їх представників відбудеться 23.04.2016 року з 09</w:t>
      </w:r>
      <w:r w:rsidRPr="00630F57">
        <w:rPr>
          <w:vertAlign w:val="superscript"/>
          <w:lang w:val="uk-UA"/>
        </w:rPr>
        <w:t>30</w:t>
      </w:r>
      <w:r w:rsidRPr="00630F57">
        <w:rPr>
          <w:lang w:val="uk-UA"/>
        </w:rPr>
        <w:t xml:space="preserve"> до 09</w:t>
      </w:r>
      <w:r w:rsidRPr="00630F57">
        <w:rPr>
          <w:vertAlign w:val="superscript"/>
          <w:lang w:val="uk-UA"/>
        </w:rPr>
        <w:t>50</w:t>
      </w:r>
      <w:r w:rsidRPr="00630F57">
        <w:rPr>
          <w:lang w:val="uk-UA"/>
        </w:rPr>
        <w:t xml:space="preserve"> за місцем проведення річних загальних зборів. Дата складення переліку акціонерів які мають право на участь у річних загальних зборах акціонерів 19.04.2016р.</w:t>
      </w:r>
    </w:p>
    <w:p w:rsidR="00630F57" w:rsidRPr="00630F57" w:rsidRDefault="00630F57" w:rsidP="00630F57">
      <w:pPr>
        <w:jc w:val="center"/>
        <w:rPr>
          <w:lang w:val="uk-UA"/>
        </w:rPr>
      </w:pPr>
      <w:r w:rsidRPr="00630F57">
        <w:rPr>
          <w:lang w:val="uk-UA"/>
        </w:rPr>
        <w:t>Порядок денний:</w:t>
      </w:r>
    </w:p>
    <w:p w:rsidR="00630F57" w:rsidRPr="00630F57" w:rsidRDefault="00630F57" w:rsidP="00630F57">
      <w:pPr>
        <w:jc w:val="both"/>
        <w:rPr>
          <w:lang w:val="uk-UA"/>
        </w:rPr>
      </w:pPr>
      <w:r w:rsidRPr="00630F57">
        <w:rPr>
          <w:lang w:val="uk-UA"/>
        </w:rPr>
        <w:t>1. Обрання робочих органів зборів та затвердження порядку проведення зборів.</w:t>
      </w:r>
    </w:p>
    <w:p w:rsidR="00630F57" w:rsidRPr="00630F57" w:rsidRDefault="00630F57" w:rsidP="00630F57">
      <w:pPr>
        <w:pStyle w:val="Default"/>
        <w:jc w:val="both"/>
        <w:rPr>
          <w:color w:val="auto"/>
          <w:lang w:val="uk-UA"/>
        </w:rPr>
      </w:pPr>
      <w:r w:rsidRPr="00630F57">
        <w:rPr>
          <w:color w:val="auto"/>
          <w:lang w:val="uk-UA"/>
        </w:rPr>
        <w:t xml:space="preserve">2. Звіт генерального директора про результати фінансово – господарської діяльності товариства за 2015 рік, прийняття рішення за наслідками розгляду звіту. </w:t>
      </w:r>
    </w:p>
    <w:p w:rsidR="00630F57" w:rsidRPr="00630F57" w:rsidRDefault="00630F57" w:rsidP="00630F57">
      <w:pPr>
        <w:jc w:val="both"/>
        <w:rPr>
          <w:lang w:val="uk-UA"/>
        </w:rPr>
      </w:pPr>
      <w:r w:rsidRPr="00630F57">
        <w:rPr>
          <w:lang w:val="uk-UA"/>
        </w:rPr>
        <w:t>3. Звіт наглядової ради про діяльність за 2015рік, прийняття рішення за наслідками розгляду звіту.</w:t>
      </w:r>
    </w:p>
    <w:p w:rsidR="00630F57" w:rsidRPr="00630F57" w:rsidRDefault="00630F57" w:rsidP="00630F57">
      <w:pPr>
        <w:jc w:val="both"/>
        <w:rPr>
          <w:lang w:val="uk-UA"/>
        </w:rPr>
      </w:pPr>
      <w:r w:rsidRPr="00630F57">
        <w:rPr>
          <w:lang w:val="uk-UA"/>
        </w:rPr>
        <w:t>4. Звіт ревізора, висновок ревізора про результати перевірки фінансово-господарської діяльності товариства за 2015 рік, прийняття рішення за наслідками розгляду звіту та затвердження висновку ревізора.</w:t>
      </w:r>
    </w:p>
    <w:p w:rsidR="00630F57" w:rsidRPr="00630F57" w:rsidRDefault="00630F57" w:rsidP="00630F57">
      <w:pPr>
        <w:jc w:val="both"/>
        <w:rPr>
          <w:lang w:val="uk-UA"/>
        </w:rPr>
      </w:pPr>
      <w:r w:rsidRPr="00630F57">
        <w:rPr>
          <w:lang w:val="uk-UA"/>
        </w:rPr>
        <w:t>5. Затвердження річного звіту товариства та порядку розподілу прибутку (покриття збитку) за 2015рік, визначення та розподіл планових показників прибутку на 2016рік.</w:t>
      </w:r>
    </w:p>
    <w:p w:rsidR="00630F57" w:rsidRPr="00630F57" w:rsidRDefault="00630F57" w:rsidP="00630F57">
      <w:pPr>
        <w:jc w:val="both"/>
        <w:rPr>
          <w:lang w:val="uk-UA"/>
        </w:rPr>
      </w:pPr>
      <w:r w:rsidRPr="00630F57">
        <w:rPr>
          <w:lang w:val="uk-UA"/>
        </w:rPr>
        <w:t xml:space="preserve">6. Прийняття рішення про внесення змін до складу засновників </w:t>
      </w:r>
      <w:proofErr w:type="spellStart"/>
      <w:r w:rsidRPr="00630F57">
        <w:rPr>
          <w:lang w:val="uk-UA"/>
        </w:rPr>
        <w:t>ПрАТ</w:t>
      </w:r>
      <w:proofErr w:type="spellEnd"/>
      <w:r w:rsidRPr="00630F57">
        <w:rPr>
          <w:lang w:val="uk-UA"/>
        </w:rPr>
        <w:t xml:space="preserve"> «</w:t>
      </w:r>
      <w:proofErr w:type="spellStart"/>
      <w:r w:rsidRPr="00630F57">
        <w:rPr>
          <w:lang w:val="uk-UA"/>
        </w:rPr>
        <w:t>Металит</w:t>
      </w:r>
      <w:proofErr w:type="spellEnd"/>
      <w:r w:rsidRPr="00630F57">
        <w:rPr>
          <w:lang w:val="uk-UA"/>
        </w:rPr>
        <w:t>», внесених у Єдиний державний реєстр юридичних осіб, фізичних осіб-підприємців та громадських формувань.</w:t>
      </w:r>
    </w:p>
    <w:p w:rsidR="00630F57" w:rsidRPr="00630F57" w:rsidRDefault="00630F57" w:rsidP="00630F57">
      <w:pPr>
        <w:jc w:val="both"/>
        <w:rPr>
          <w:lang w:val="uk-UA"/>
        </w:rPr>
      </w:pPr>
      <w:r w:rsidRPr="00630F57">
        <w:rPr>
          <w:lang w:val="uk-UA"/>
        </w:rPr>
        <w:t xml:space="preserve">7. Про внесення змін та доповнень до Статуту </w:t>
      </w:r>
      <w:proofErr w:type="spellStart"/>
      <w:r w:rsidRPr="00630F57">
        <w:rPr>
          <w:lang w:val="uk-UA"/>
        </w:rPr>
        <w:t>ПрАТ</w:t>
      </w:r>
      <w:proofErr w:type="spellEnd"/>
      <w:r w:rsidRPr="00630F57">
        <w:rPr>
          <w:lang w:val="uk-UA"/>
        </w:rPr>
        <w:t xml:space="preserve"> «</w:t>
      </w:r>
      <w:proofErr w:type="spellStart"/>
      <w:r w:rsidRPr="00630F57">
        <w:rPr>
          <w:lang w:val="uk-UA"/>
        </w:rPr>
        <w:t>Металит</w:t>
      </w:r>
      <w:proofErr w:type="spellEnd"/>
      <w:r w:rsidRPr="00630F57">
        <w:rPr>
          <w:lang w:val="uk-UA"/>
        </w:rPr>
        <w:t>» шляхом затвердження його в новій редакції.</w:t>
      </w:r>
    </w:p>
    <w:p w:rsidR="00630F57" w:rsidRPr="00630F57" w:rsidRDefault="00630F57" w:rsidP="00630F57">
      <w:pPr>
        <w:jc w:val="both"/>
        <w:rPr>
          <w:lang w:val="uk-UA"/>
        </w:rPr>
      </w:pPr>
      <w:r w:rsidRPr="00630F57">
        <w:rPr>
          <w:lang w:val="uk-UA"/>
        </w:rPr>
        <w:t>8. Про попереднє схвалення значних правочинів, які можуть вчинятися товариством протягом одного року з дня проведення загальних зборів акціонерів, надання наглядовій раді товариства повноваження щодо прийняття рішень про визначення доцільності укладення значних правочинів, визначення (погодження) істотних умов значних правочинів, визначення посадової особи, на яку буде покладено обов’язок щодо підписання та укладення таких правочинів.</w:t>
      </w:r>
    </w:p>
    <w:p w:rsidR="00630F57" w:rsidRPr="00630F57" w:rsidRDefault="00630F57" w:rsidP="00630F57">
      <w:pPr>
        <w:jc w:val="both"/>
        <w:rPr>
          <w:lang w:val="uk-UA"/>
        </w:rPr>
      </w:pPr>
      <w:r w:rsidRPr="00630F57">
        <w:rPr>
          <w:lang w:val="uk-UA"/>
        </w:rPr>
        <w:t xml:space="preserve">Акціонери мають можливість ознайомитись з матеріалами порядку денного загальних зборів з дня отримання повідомлення, в робочі дні, за адресою: м. Кіровоград, вул. Медведєва, 1, корп. 2, офіс 201 у робочі дні з 8-ї до 12-ї години. Посадова особа, відповідальна за ознайомлення акціонерів з документами, необхідними для прийняття рішень з питань порядку денного, – головний бухгалтер </w:t>
      </w:r>
      <w:proofErr w:type="spellStart"/>
      <w:r w:rsidRPr="00630F57">
        <w:rPr>
          <w:lang w:val="uk-UA"/>
        </w:rPr>
        <w:t>ПрАТ</w:t>
      </w:r>
      <w:proofErr w:type="spellEnd"/>
      <w:r w:rsidRPr="00630F57">
        <w:rPr>
          <w:lang w:val="uk-UA"/>
        </w:rPr>
        <w:t xml:space="preserve"> «</w:t>
      </w:r>
      <w:proofErr w:type="spellStart"/>
      <w:r w:rsidRPr="00630F57">
        <w:rPr>
          <w:lang w:val="uk-UA"/>
        </w:rPr>
        <w:t>Металит</w:t>
      </w:r>
      <w:proofErr w:type="spellEnd"/>
      <w:r w:rsidRPr="00630F57">
        <w:rPr>
          <w:lang w:val="uk-UA"/>
        </w:rPr>
        <w:t xml:space="preserve">» </w:t>
      </w:r>
      <w:proofErr w:type="spellStart"/>
      <w:r w:rsidRPr="00630F57">
        <w:rPr>
          <w:lang w:val="uk-UA"/>
        </w:rPr>
        <w:t>Замуренко</w:t>
      </w:r>
      <w:proofErr w:type="spellEnd"/>
      <w:r w:rsidRPr="00630F57">
        <w:rPr>
          <w:lang w:val="uk-UA"/>
        </w:rPr>
        <w:t xml:space="preserve"> Юлія Володимирівна.</w:t>
      </w:r>
    </w:p>
    <w:p w:rsidR="00630F57" w:rsidRPr="00630F57" w:rsidRDefault="00630F57" w:rsidP="00630F57">
      <w:pPr>
        <w:jc w:val="center"/>
        <w:rPr>
          <w:color w:val="000000"/>
          <w:lang w:val="uk-UA"/>
        </w:rPr>
      </w:pPr>
      <w:r w:rsidRPr="00630F57">
        <w:rPr>
          <w:color w:val="000000"/>
          <w:lang w:val="uk-UA"/>
        </w:rPr>
        <w:t>Основні показники фінансово-господарської діяльності підприємства (</w:t>
      </w:r>
      <w:proofErr w:type="spellStart"/>
      <w:r w:rsidRPr="00630F57">
        <w:rPr>
          <w:color w:val="000000"/>
          <w:lang w:val="uk-UA"/>
        </w:rPr>
        <w:t>тис.грн</w:t>
      </w:r>
      <w:proofErr w:type="spellEnd"/>
      <w:r w:rsidRPr="00630F57">
        <w:rPr>
          <w:color w:val="000000"/>
          <w:lang w:val="uk-UA"/>
        </w:rPr>
        <w:t>)*</w:t>
      </w:r>
    </w:p>
    <w:tbl>
      <w:tblPr>
        <w:tblW w:w="10078" w:type="dxa"/>
        <w:tblInd w:w="95" w:type="dxa"/>
        <w:tblLook w:val="04A0" w:firstRow="1" w:lastRow="0" w:firstColumn="1" w:lastColumn="0" w:noHBand="0" w:noVBand="1"/>
      </w:tblPr>
      <w:tblGrid>
        <w:gridCol w:w="7668"/>
        <w:gridCol w:w="1276"/>
        <w:gridCol w:w="1372"/>
      </w:tblGrid>
      <w:tr w:rsidR="00630F57" w:rsidRPr="00630F57" w:rsidTr="008E1659">
        <w:trPr>
          <w:trHeight w:val="255"/>
        </w:trPr>
        <w:tc>
          <w:tcPr>
            <w:tcW w:w="7668" w:type="dxa"/>
            <w:vMerge w:val="restart"/>
            <w:tcBorders>
              <w:top w:val="single" w:sz="4" w:space="0" w:color="auto"/>
              <w:left w:val="single" w:sz="4" w:space="0" w:color="auto"/>
              <w:bottom w:val="single" w:sz="4" w:space="0" w:color="auto"/>
              <w:right w:val="single" w:sz="4" w:space="0" w:color="auto"/>
            </w:tcBorders>
            <w:noWrap/>
            <w:hideMark/>
          </w:tcPr>
          <w:p w:rsidR="00630F57" w:rsidRPr="00630F57" w:rsidRDefault="00630F57" w:rsidP="008E1659">
            <w:pPr>
              <w:jc w:val="center"/>
              <w:rPr>
                <w:color w:val="000000"/>
                <w:lang w:val="uk-UA"/>
              </w:rPr>
            </w:pPr>
            <w:r w:rsidRPr="00630F57">
              <w:rPr>
                <w:color w:val="000000"/>
                <w:lang w:val="uk-UA"/>
              </w:rPr>
              <w:t>Найменування показника</w:t>
            </w:r>
          </w:p>
        </w:tc>
        <w:tc>
          <w:tcPr>
            <w:tcW w:w="2410" w:type="dxa"/>
            <w:gridSpan w:val="2"/>
            <w:tcBorders>
              <w:top w:val="single" w:sz="4" w:space="0" w:color="auto"/>
              <w:left w:val="nil"/>
              <w:bottom w:val="single" w:sz="4" w:space="0" w:color="auto"/>
              <w:right w:val="single" w:sz="4" w:space="0" w:color="auto"/>
            </w:tcBorders>
            <w:noWrap/>
            <w:hideMark/>
          </w:tcPr>
          <w:p w:rsidR="00630F57" w:rsidRPr="00630F57" w:rsidRDefault="00630F57" w:rsidP="008E1659">
            <w:pPr>
              <w:jc w:val="center"/>
              <w:rPr>
                <w:color w:val="000000"/>
                <w:lang w:val="uk-UA"/>
              </w:rPr>
            </w:pPr>
            <w:r w:rsidRPr="00630F57">
              <w:rPr>
                <w:color w:val="000000"/>
                <w:lang w:val="uk-UA"/>
              </w:rPr>
              <w:t>період</w:t>
            </w:r>
          </w:p>
        </w:tc>
      </w:tr>
      <w:tr w:rsidR="00630F57" w:rsidRPr="00630F57" w:rsidTr="008E1659">
        <w:trPr>
          <w:trHeight w:val="255"/>
        </w:trPr>
        <w:tc>
          <w:tcPr>
            <w:tcW w:w="7668" w:type="dxa"/>
            <w:vMerge/>
            <w:tcBorders>
              <w:top w:val="single" w:sz="4" w:space="0" w:color="auto"/>
              <w:left w:val="single" w:sz="4" w:space="0" w:color="auto"/>
              <w:bottom w:val="single" w:sz="4" w:space="0" w:color="auto"/>
              <w:right w:val="single" w:sz="4" w:space="0" w:color="auto"/>
            </w:tcBorders>
            <w:vAlign w:val="center"/>
            <w:hideMark/>
          </w:tcPr>
          <w:p w:rsidR="00630F57" w:rsidRPr="00630F57" w:rsidRDefault="00630F57" w:rsidP="008E1659">
            <w:pPr>
              <w:rPr>
                <w:color w:val="000000"/>
                <w:lang w:val="uk-UA"/>
              </w:rPr>
            </w:pPr>
          </w:p>
        </w:tc>
        <w:tc>
          <w:tcPr>
            <w:tcW w:w="1276" w:type="dxa"/>
            <w:tcBorders>
              <w:top w:val="nil"/>
              <w:left w:val="nil"/>
              <w:bottom w:val="single" w:sz="4" w:space="0" w:color="auto"/>
              <w:right w:val="single" w:sz="4" w:space="0" w:color="auto"/>
            </w:tcBorders>
            <w:noWrap/>
            <w:hideMark/>
          </w:tcPr>
          <w:p w:rsidR="00630F57" w:rsidRPr="00630F57" w:rsidRDefault="00630F57" w:rsidP="008E1659">
            <w:pPr>
              <w:jc w:val="center"/>
              <w:rPr>
                <w:color w:val="000000"/>
                <w:lang w:val="uk-UA"/>
              </w:rPr>
            </w:pPr>
            <w:r w:rsidRPr="00630F57">
              <w:rPr>
                <w:color w:val="000000"/>
                <w:lang w:val="uk-UA"/>
              </w:rPr>
              <w:t>звітний</w:t>
            </w:r>
          </w:p>
        </w:tc>
        <w:tc>
          <w:tcPr>
            <w:tcW w:w="1134" w:type="dxa"/>
            <w:tcBorders>
              <w:top w:val="nil"/>
              <w:left w:val="nil"/>
              <w:bottom w:val="single" w:sz="4" w:space="0" w:color="auto"/>
              <w:right w:val="single" w:sz="4" w:space="0" w:color="auto"/>
            </w:tcBorders>
            <w:noWrap/>
            <w:hideMark/>
          </w:tcPr>
          <w:p w:rsidR="00630F57" w:rsidRPr="00630F57" w:rsidRDefault="00630F57" w:rsidP="008E1659">
            <w:pPr>
              <w:jc w:val="center"/>
              <w:rPr>
                <w:color w:val="000000"/>
                <w:lang w:val="uk-UA"/>
              </w:rPr>
            </w:pPr>
            <w:r w:rsidRPr="00630F57">
              <w:rPr>
                <w:color w:val="000000"/>
                <w:lang w:val="uk-UA"/>
              </w:rPr>
              <w:t>попередній</w:t>
            </w:r>
          </w:p>
        </w:tc>
      </w:tr>
      <w:tr w:rsidR="00630F57" w:rsidRPr="00630F57" w:rsidTr="008E1659">
        <w:trPr>
          <w:trHeight w:val="148"/>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Усього активів</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34099 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20982</w:t>
            </w:r>
          </w:p>
        </w:tc>
      </w:tr>
      <w:tr w:rsidR="00630F57" w:rsidRPr="00630F57" w:rsidTr="008E1659">
        <w:trPr>
          <w:trHeight w:val="7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Основні засоби</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12907</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8879 </w:t>
            </w:r>
          </w:p>
        </w:tc>
      </w:tr>
      <w:tr w:rsidR="00630F57" w:rsidRPr="00630F57" w:rsidTr="008E1659">
        <w:trPr>
          <w:trHeight w:val="7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Довгострокові фінансові інвестиції</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r>
      <w:tr w:rsidR="00630F57" w:rsidRPr="00630F57" w:rsidTr="008E1659">
        <w:trPr>
          <w:trHeight w:val="154"/>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Запаси</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10969 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4448</w:t>
            </w:r>
          </w:p>
        </w:tc>
      </w:tr>
      <w:tr w:rsidR="00630F57" w:rsidRPr="00630F57" w:rsidTr="008E1659">
        <w:trPr>
          <w:trHeight w:val="96"/>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Сумарна дебіторська заборгованість</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6958 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4332</w:t>
            </w:r>
          </w:p>
        </w:tc>
      </w:tr>
      <w:tr w:rsidR="00630F57" w:rsidRPr="00630F57" w:rsidTr="008E1659">
        <w:trPr>
          <w:trHeight w:val="7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Грошові кошти та їх еквіваленти</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155</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68</w:t>
            </w:r>
          </w:p>
        </w:tc>
      </w:tr>
      <w:tr w:rsidR="00630F57" w:rsidRPr="00630F57" w:rsidTr="008E1659">
        <w:trPr>
          <w:trHeight w:val="7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Нерозподілений прибуток</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6066 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2095</w:t>
            </w:r>
          </w:p>
        </w:tc>
      </w:tr>
      <w:tr w:rsidR="00630F57" w:rsidRPr="00630F57" w:rsidTr="008E1659">
        <w:trPr>
          <w:trHeight w:val="89"/>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Власний капітал</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12756</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8785</w:t>
            </w:r>
          </w:p>
        </w:tc>
      </w:tr>
      <w:tr w:rsidR="00630F57" w:rsidRPr="00630F57" w:rsidTr="008E1659">
        <w:trPr>
          <w:trHeight w:val="7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Статутний капітал</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2006</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2006 </w:t>
            </w:r>
          </w:p>
        </w:tc>
      </w:tr>
      <w:tr w:rsidR="00630F57" w:rsidRPr="00630F57" w:rsidTr="008E1659">
        <w:trPr>
          <w:trHeight w:val="153"/>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 xml:space="preserve">Довгострокові зобов'язання </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r>
      <w:tr w:rsidR="00630F57" w:rsidRPr="00630F57" w:rsidTr="008E1659">
        <w:trPr>
          <w:trHeight w:val="95"/>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 xml:space="preserve">Поточні зобов'язання </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21343 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12197</w:t>
            </w:r>
          </w:p>
        </w:tc>
      </w:tr>
      <w:tr w:rsidR="00630F57" w:rsidRPr="00630F57" w:rsidTr="008E1659">
        <w:trPr>
          <w:trHeight w:val="16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Чистий прибуток (збиток)</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3971</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441 </w:t>
            </w:r>
          </w:p>
        </w:tc>
      </w:tr>
      <w:tr w:rsidR="00630F57" w:rsidRPr="00630F57" w:rsidTr="008E1659">
        <w:trPr>
          <w:trHeight w:val="102"/>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Середньорічна кількість акцій (шт.)</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200625</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200625</w:t>
            </w:r>
          </w:p>
        </w:tc>
      </w:tr>
      <w:tr w:rsidR="00630F57" w:rsidRPr="00630F57" w:rsidTr="008E1659">
        <w:trPr>
          <w:trHeight w:val="4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Кількість власних акцій, викуплених протягом періоду (шт.)</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r>
      <w:tr w:rsidR="00630F57" w:rsidRPr="00630F57" w:rsidTr="008E1659">
        <w:trPr>
          <w:trHeight w:val="40"/>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Загальна сума коштів, витрачених на викуп власних акцій протягом періоду</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 </w:t>
            </w:r>
          </w:p>
        </w:tc>
      </w:tr>
      <w:tr w:rsidR="00630F57" w:rsidRPr="00630F57" w:rsidTr="008E1659">
        <w:trPr>
          <w:trHeight w:val="176"/>
        </w:trPr>
        <w:tc>
          <w:tcPr>
            <w:tcW w:w="7668" w:type="dxa"/>
            <w:tcBorders>
              <w:top w:val="nil"/>
              <w:left w:val="single" w:sz="4" w:space="0" w:color="auto"/>
              <w:bottom w:val="single" w:sz="4" w:space="0" w:color="auto"/>
              <w:right w:val="single" w:sz="4" w:space="0" w:color="auto"/>
            </w:tcBorders>
            <w:hideMark/>
          </w:tcPr>
          <w:p w:rsidR="00630F57" w:rsidRPr="00630F57" w:rsidRDefault="00630F57" w:rsidP="008E1659">
            <w:pPr>
              <w:rPr>
                <w:color w:val="000000"/>
                <w:lang w:val="uk-UA"/>
              </w:rPr>
            </w:pPr>
            <w:r w:rsidRPr="00630F57">
              <w:rPr>
                <w:color w:val="000000"/>
                <w:lang w:val="uk-UA"/>
              </w:rPr>
              <w:t>Чисельність працівників на кінець періоду (осіб)</w:t>
            </w:r>
          </w:p>
        </w:tc>
        <w:tc>
          <w:tcPr>
            <w:tcW w:w="1276"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199</w:t>
            </w:r>
          </w:p>
        </w:tc>
        <w:tc>
          <w:tcPr>
            <w:tcW w:w="1134" w:type="dxa"/>
            <w:tcBorders>
              <w:top w:val="nil"/>
              <w:left w:val="nil"/>
              <w:bottom w:val="single" w:sz="4" w:space="0" w:color="auto"/>
              <w:right w:val="single" w:sz="4" w:space="0" w:color="auto"/>
            </w:tcBorders>
            <w:hideMark/>
          </w:tcPr>
          <w:p w:rsidR="00630F57" w:rsidRPr="00630F57" w:rsidRDefault="00630F57" w:rsidP="008E1659">
            <w:pPr>
              <w:jc w:val="center"/>
              <w:rPr>
                <w:color w:val="000000"/>
                <w:lang w:val="uk-UA"/>
              </w:rPr>
            </w:pPr>
            <w:r w:rsidRPr="00630F57">
              <w:rPr>
                <w:color w:val="000000"/>
                <w:lang w:val="uk-UA"/>
              </w:rPr>
              <w:t>196</w:t>
            </w:r>
          </w:p>
        </w:tc>
      </w:tr>
    </w:tbl>
    <w:p w:rsidR="00630F57" w:rsidRPr="00630F57" w:rsidRDefault="00630F57" w:rsidP="00630F57">
      <w:pPr>
        <w:rPr>
          <w:color w:val="000000"/>
          <w:lang w:val="uk-UA"/>
        </w:rPr>
      </w:pPr>
      <w:r w:rsidRPr="00630F57">
        <w:rPr>
          <w:color w:val="000000"/>
          <w:lang w:val="uk-UA"/>
        </w:rPr>
        <w:t xml:space="preserve">Генеральний директор </w:t>
      </w:r>
      <w:proofErr w:type="spellStart"/>
      <w:r w:rsidRPr="00630F57">
        <w:rPr>
          <w:color w:val="000000"/>
          <w:lang w:val="uk-UA"/>
        </w:rPr>
        <w:t>ПрАТ</w:t>
      </w:r>
      <w:proofErr w:type="spellEnd"/>
      <w:r w:rsidRPr="00630F57">
        <w:rPr>
          <w:color w:val="000000"/>
          <w:lang w:val="uk-UA"/>
        </w:rPr>
        <w:t xml:space="preserve"> «</w:t>
      </w:r>
      <w:proofErr w:type="spellStart"/>
      <w:r w:rsidRPr="00630F57">
        <w:rPr>
          <w:color w:val="000000"/>
          <w:lang w:val="uk-UA"/>
        </w:rPr>
        <w:t>Металит</w:t>
      </w:r>
      <w:proofErr w:type="spellEnd"/>
      <w:r w:rsidRPr="00630F57">
        <w:rPr>
          <w:color w:val="000000"/>
          <w:lang w:val="uk-UA"/>
        </w:rPr>
        <w:t xml:space="preserve">» </w:t>
      </w:r>
      <w:proofErr w:type="spellStart"/>
      <w:r w:rsidRPr="00630F57">
        <w:rPr>
          <w:color w:val="000000"/>
          <w:lang w:val="uk-UA"/>
        </w:rPr>
        <w:t>Данильчук</w:t>
      </w:r>
      <w:proofErr w:type="spellEnd"/>
      <w:r w:rsidRPr="00630F57">
        <w:rPr>
          <w:color w:val="000000"/>
          <w:lang w:val="uk-UA"/>
        </w:rPr>
        <w:t xml:space="preserve"> Г.О.</w:t>
      </w:r>
    </w:p>
    <w:bookmarkEnd w:id="0"/>
    <w:p w:rsidR="003337C9" w:rsidRPr="00630F57" w:rsidRDefault="003337C9">
      <w:pPr>
        <w:rPr>
          <w:lang w:val="uk-UA"/>
        </w:rPr>
      </w:pPr>
    </w:p>
    <w:sectPr w:rsidR="003337C9" w:rsidRPr="00630F57" w:rsidSect="00630F57">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57"/>
    <w:rsid w:val="00030118"/>
    <w:rsid w:val="000414CC"/>
    <w:rsid w:val="00045ACA"/>
    <w:rsid w:val="000464A0"/>
    <w:rsid w:val="00077B91"/>
    <w:rsid w:val="000A1C9C"/>
    <w:rsid w:val="000E3A8C"/>
    <w:rsid w:val="000F68DB"/>
    <w:rsid w:val="00103521"/>
    <w:rsid w:val="001131BA"/>
    <w:rsid w:val="00136DE4"/>
    <w:rsid w:val="00142389"/>
    <w:rsid w:val="001517F0"/>
    <w:rsid w:val="00193202"/>
    <w:rsid w:val="001C6756"/>
    <w:rsid w:val="001D24D1"/>
    <w:rsid w:val="001D6E35"/>
    <w:rsid w:val="001E1FB2"/>
    <w:rsid w:val="001E525C"/>
    <w:rsid w:val="001F3F04"/>
    <w:rsid w:val="001F7755"/>
    <w:rsid w:val="002339A6"/>
    <w:rsid w:val="00241506"/>
    <w:rsid w:val="00244365"/>
    <w:rsid w:val="00253A71"/>
    <w:rsid w:val="00262A38"/>
    <w:rsid w:val="00265C8F"/>
    <w:rsid w:val="002665DD"/>
    <w:rsid w:val="002F15DB"/>
    <w:rsid w:val="002F5C37"/>
    <w:rsid w:val="00313568"/>
    <w:rsid w:val="003337C9"/>
    <w:rsid w:val="003817CD"/>
    <w:rsid w:val="003823E3"/>
    <w:rsid w:val="003B4949"/>
    <w:rsid w:val="003C1DA6"/>
    <w:rsid w:val="003D513D"/>
    <w:rsid w:val="003F12CD"/>
    <w:rsid w:val="003F37E4"/>
    <w:rsid w:val="00412EC5"/>
    <w:rsid w:val="004361D4"/>
    <w:rsid w:val="0044443C"/>
    <w:rsid w:val="00457C45"/>
    <w:rsid w:val="00461554"/>
    <w:rsid w:val="00461897"/>
    <w:rsid w:val="00475F1A"/>
    <w:rsid w:val="00482241"/>
    <w:rsid w:val="004B7587"/>
    <w:rsid w:val="004C2A3F"/>
    <w:rsid w:val="004D18E9"/>
    <w:rsid w:val="004D2388"/>
    <w:rsid w:val="004E1F03"/>
    <w:rsid w:val="005126BC"/>
    <w:rsid w:val="00517C86"/>
    <w:rsid w:val="00532EDB"/>
    <w:rsid w:val="00535D80"/>
    <w:rsid w:val="005416DB"/>
    <w:rsid w:val="00550279"/>
    <w:rsid w:val="005562B7"/>
    <w:rsid w:val="005A36B5"/>
    <w:rsid w:val="005C45E1"/>
    <w:rsid w:val="005C686F"/>
    <w:rsid w:val="005E075D"/>
    <w:rsid w:val="005E47F7"/>
    <w:rsid w:val="005F6E71"/>
    <w:rsid w:val="0060453C"/>
    <w:rsid w:val="0062453E"/>
    <w:rsid w:val="00630F57"/>
    <w:rsid w:val="006A56DD"/>
    <w:rsid w:val="006B3DE9"/>
    <w:rsid w:val="006B53FC"/>
    <w:rsid w:val="006E54C6"/>
    <w:rsid w:val="006F3E33"/>
    <w:rsid w:val="00720306"/>
    <w:rsid w:val="007A249B"/>
    <w:rsid w:val="007A5D6F"/>
    <w:rsid w:val="007D464C"/>
    <w:rsid w:val="007E09E3"/>
    <w:rsid w:val="007E6591"/>
    <w:rsid w:val="00803552"/>
    <w:rsid w:val="008104E8"/>
    <w:rsid w:val="0081073D"/>
    <w:rsid w:val="0083340B"/>
    <w:rsid w:val="00843159"/>
    <w:rsid w:val="00892CD0"/>
    <w:rsid w:val="008B64C8"/>
    <w:rsid w:val="008C661D"/>
    <w:rsid w:val="009121E8"/>
    <w:rsid w:val="00955766"/>
    <w:rsid w:val="009E16D6"/>
    <w:rsid w:val="009F5C90"/>
    <w:rsid w:val="00A41FFA"/>
    <w:rsid w:val="00A459C2"/>
    <w:rsid w:val="00A62FC8"/>
    <w:rsid w:val="00A64EA8"/>
    <w:rsid w:val="00A82402"/>
    <w:rsid w:val="00A86321"/>
    <w:rsid w:val="00AA296D"/>
    <w:rsid w:val="00AB2D69"/>
    <w:rsid w:val="00AE04DE"/>
    <w:rsid w:val="00AE73D7"/>
    <w:rsid w:val="00AF41F6"/>
    <w:rsid w:val="00AF7CF7"/>
    <w:rsid w:val="00B2691D"/>
    <w:rsid w:val="00B46909"/>
    <w:rsid w:val="00B67010"/>
    <w:rsid w:val="00B72E70"/>
    <w:rsid w:val="00BB0527"/>
    <w:rsid w:val="00C41565"/>
    <w:rsid w:val="00C62F7A"/>
    <w:rsid w:val="00C64920"/>
    <w:rsid w:val="00C93197"/>
    <w:rsid w:val="00D15881"/>
    <w:rsid w:val="00D43E4F"/>
    <w:rsid w:val="00D44E9E"/>
    <w:rsid w:val="00D50F6C"/>
    <w:rsid w:val="00D51E43"/>
    <w:rsid w:val="00D90D03"/>
    <w:rsid w:val="00D91774"/>
    <w:rsid w:val="00DD1020"/>
    <w:rsid w:val="00E40B7E"/>
    <w:rsid w:val="00E43256"/>
    <w:rsid w:val="00E62497"/>
    <w:rsid w:val="00E979F8"/>
    <w:rsid w:val="00EE56DC"/>
    <w:rsid w:val="00F00CDC"/>
    <w:rsid w:val="00F12805"/>
    <w:rsid w:val="00F16B3B"/>
    <w:rsid w:val="00F211AB"/>
    <w:rsid w:val="00F304E1"/>
    <w:rsid w:val="00FC1F68"/>
    <w:rsid w:val="00FC7641"/>
    <w:rsid w:val="00FE26A9"/>
    <w:rsid w:val="00FE44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F5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0F5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F5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0F5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2028</Words>
  <Characters>1156</Characters>
  <Application>Microsoft Office Word</Application>
  <DocSecurity>0</DocSecurity>
  <Lines>9</Lines>
  <Paragraphs>6</Paragraphs>
  <ScaleCrop>false</ScaleCrop>
  <Company>Reanimator Extreme Edition</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2016-03-05T12:03:00Z</dcterms:created>
  <dcterms:modified xsi:type="dcterms:W3CDTF">2016-03-05T12:04:00Z</dcterms:modified>
</cp:coreProperties>
</file>